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D707" w14:textId="77777777" w:rsidR="00F733B0" w:rsidRDefault="00F733B0" w:rsidP="00F733B0">
      <w:r>
        <w:rPr>
          <w:noProof/>
        </w:rPr>
        <w:drawing>
          <wp:inline distT="0" distB="0" distL="0" distR="0" wp14:anchorId="6C2EDB1C" wp14:editId="5C98BF33">
            <wp:extent cx="43815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F0AC" w14:textId="41FEB58D" w:rsidR="00F733B0" w:rsidRPr="00BF708E" w:rsidRDefault="00F733B0" w:rsidP="00F733B0">
      <w:pPr>
        <w:rPr>
          <w:sz w:val="36"/>
          <w:szCs w:val="36"/>
        </w:rPr>
      </w:pPr>
      <w:r w:rsidRPr="00BF708E">
        <w:rPr>
          <w:sz w:val="36"/>
          <w:szCs w:val="36"/>
        </w:rPr>
        <w:t xml:space="preserve">    </w:t>
      </w:r>
      <w:r>
        <w:rPr>
          <w:sz w:val="36"/>
          <w:szCs w:val="36"/>
        </w:rPr>
        <w:t>Study Tips</w:t>
      </w:r>
    </w:p>
    <w:p w14:paraId="5286CBC5" w14:textId="77777777" w:rsidR="00635589" w:rsidRDefault="00635589" w:rsidP="00635589">
      <w:pPr>
        <w:rPr>
          <w:b/>
          <w:bCs/>
          <w:i/>
          <w:iCs/>
        </w:rPr>
      </w:pPr>
    </w:p>
    <w:p w14:paraId="09D35BFF" w14:textId="77777777" w:rsidR="00635589" w:rsidRDefault="00635589" w:rsidP="00635589">
      <w:pPr>
        <w:rPr>
          <w:b/>
          <w:bCs/>
          <w:i/>
          <w:iCs/>
        </w:rPr>
      </w:pPr>
    </w:p>
    <w:p w14:paraId="1B5DC3A8" w14:textId="1A201A2A" w:rsidR="00635589" w:rsidRDefault="00635589" w:rsidP="00635589">
      <w:pPr>
        <w:pStyle w:val="ListParagraph"/>
        <w:numPr>
          <w:ilvl w:val="0"/>
          <w:numId w:val="7"/>
        </w:numPr>
        <w:rPr>
          <w:rFonts w:cstheme="minorHAnsi"/>
        </w:rPr>
      </w:pPr>
      <w:r w:rsidRPr="00DE6631">
        <w:rPr>
          <w:rFonts w:cstheme="minorHAnsi"/>
        </w:rPr>
        <w:t xml:space="preserve">The reference list for the MEF-SDCP certification exam is considerably smaller than other MEF exams.  This is due to the subject being </w:t>
      </w:r>
      <w:r w:rsidR="00DE6631">
        <w:rPr>
          <w:rFonts w:cstheme="minorHAnsi"/>
        </w:rPr>
        <w:t xml:space="preserve">specific standards work on </w:t>
      </w:r>
      <w:r w:rsidRPr="00DE6631">
        <w:rPr>
          <w:rFonts w:cstheme="minorHAnsi"/>
        </w:rPr>
        <w:t xml:space="preserve">SD-WAN </w:t>
      </w:r>
      <w:r w:rsidR="00DE6631">
        <w:rPr>
          <w:rFonts w:cstheme="minorHAnsi"/>
        </w:rPr>
        <w:t>which is currently based on the</w:t>
      </w:r>
      <w:r w:rsidRPr="00DE6631">
        <w:rPr>
          <w:rFonts w:cstheme="minorHAnsi"/>
        </w:rPr>
        <w:t xml:space="preserve"> MEF-70, therefore, when you study for the exam, MEF-70 is your primary reference.  All other references are secondary however supportive especially when considering that most questions in MEF exams are scenario-based.</w:t>
      </w:r>
    </w:p>
    <w:p w14:paraId="5C988BB5" w14:textId="77777777" w:rsidR="00CD6496" w:rsidRDefault="00CD6496" w:rsidP="00CD6496">
      <w:pPr>
        <w:pStyle w:val="ListParagraph"/>
        <w:rPr>
          <w:rFonts w:cstheme="minorHAnsi"/>
        </w:rPr>
      </w:pPr>
    </w:p>
    <w:p w14:paraId="25A65520" w14:textId="31E9507F" w:rsidR="00CD6496" w:rsidRPr="00DE6631" w:rsidRDefault="00CD6496" w:rsidP="0063558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additional resources</w:t>
      </w:r>
      <w:r w:rsidR="002C413B">
        <w:rPr>
          <w:rFonts w:cstheme="minorHAnsi"/>
        </w:rPr>
        <w:t xml:space="preserve"> provided for study</w:t>
      </w:r>
      <w:r>
        <w:rPr>
          <w:rFonts w:cstheme="minorHAnsi"/>
        </w:rPr>
        <w:t xml:space="preserve">, such as MEF55, </w:t>
      </w:r>
      <w:r>
        <w:t>RFC 2764</w:t>
      </w:r>
      <w:r>
        <w:rPr>
          <w:rFonts w:cstheme="minorHAnsi"/>
        </w:rPr>
        <w:t xml:space="preserve"> and the white papers provided, are useful to gain a broad perspective related to SD-WAN in the context of the MEF-SDCP certification exam.  Some exam questions utilize this perspective in the context of the scenarios provided. </w:t>
      </w:r>
    </w:p>
    <w:p w14:paraId="1F1649FD" w14:textId="77777777" w:rsidR="00635589" w:rsidRPr="00DE6631" w:rsidRDefault="00635589" w:rsidP="00635589">
      <w:pPr>
        <w:pStyle w:val="ListParagraph"/>
        <w:rPr>
          <w:rFonts w:cstheme="minorHAnsi"/>
        </w:rPr>
      </w:pPr>
    </w:p>
    <w:p w14:paraId="02EB63BB" w14:textId="2A56998B" w:rsidR="0036201E" w:rsidRPr="00062C65" w:rsidRDefault="00F22817" w:rsidP="00062C65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</w:rPr>
        <w:t>Exam q</w:t>
      </w:r>
      <w:r w:rsidR="00635589" w:rsidRPr="00DE6631">
        <w:rPr>
          <w:rFonts w:cstheme="minorHAnsi"/>
        </w:rPr>
        <w:t>uestions</w:t>
      </w:r>
      <w:r w:rsidR="00DE6631">
        <w:rPr>
          <w:rFonts w:cstheme="minorHAnsi"/>
        </w:rPr>
        <w:t xml:space="preserve"> </w:t>
      </w:r>
      <w:r w:rsidR="00635589" w:rsidRPr="00DE6631">
        <w:rPr>
          <w:rFonts w:cstheme="minorHAnsi"/>
        </w:rPr>
        <w:t>are designed around a cognitive complexity approach.  Cognitive</w:t>
      </w:r>
      <w:r w:rsidR="00635589" w:rsidRPr="00DE6631">
        <w:rPr>
          <w:rFonts w:cstheme="minorHAnsi"/>
          <w:b/>
          <w:bCs/>
          <w:sz w:val="21"/>
          <w:szCs w:val="21"/>
        </w:rPr>
        <w:t xml:space="preserve"> </w:t>
      </w:r>
      <w:r w:rsidR="00635589" w:rsidRPr="00DE6631">
        <w:rPr>
          <w:rFonts w:cstheme="minorHAnsi"/>
          <w:sz w:val="21"/>
          <w:szCs w:val="21"/>
        </w:rPr>
        <w:t>complexity</w:t>
      </w:r>
      <w:r w:rsidR="00DE6631">
        <w:rPr>
          <w:rFonts w:cstheme="minorHAnsi"/>
          <w:sz w:val="21"/>
          <w:szCs w:val="21"/>
        </w:rPr>
        <w:t xml:space="preserve">, or rather, the </w:t>
      </w:r>
      <w:r w:rsidR="00DE6631" w:rsidRPr="00DE6631">
        <w:rPr>
          <w:rFonts w:cstheme="minorHAnsi"/>
          <w:sz w:val="21"/>
          <w:szCs w:val="21"/>
        </w:rPr>
        <w:t xml:space="preserve">nature of thinking </w:t>
      </w:r>
      <w:r w:rsidR="00CD6496" w:rsidRPr="00DE6631">
        <w:rPr>
          <w:rFonts w:cstheme="minorHAnsi"/>
          <w:sz w:val="21"/>
          <w:szCs w:val="21"/>
        </w:rPr>
        <w:t>required</w:t>
      </w:r>
      <w:r w:rsidR="00CD6496">
        <w:rPr>
          <w:rFonts w:cstheme="minorHAnsi"/>
          <w:sz w:val="21"/>
          <w:szCs w:val="21"/>
        </w:rPr>
        <w:t xml:space="preserve">, </w:t>
      </w:r>
      <w:r w:rsidR="00CD6496" w:rsidRPr="00DE6631">
        <w:rPr>
          <w:rFonts w:cstheme="minorHAnsi"/>
          <w:sz w:val="21"/>
          <w:szCs w:val="21"/>
          <w:shd w:val="clear" w:color="auto" w:fill="FFFFFF"/>
        </w:rPr>
        <w:t>relates</w:t>
      </w:r>
      <w:r w:rsidR="00635589" w:rsidRPr="00DE6631">
        <w:rPr>
          <w:rFonts w:cstheme="minorHAnsi"/>
          <w:sz w:val="21"/>
          <w:szCs w:val="21"/>
          <w:shd w:val="clear" w:color="auto" w:fill="FFFFFF"/>
        </w:rPr>
        <w:t xml:space="preserve"> to how a person remembers, understands, analyzes</w:t>
      </w:r>
      <w:r w:rsidR="00CD6496">
        <w:rPr>
          <w:rFonts w:cstheme="minorHAnsi"/>
          <w:sz w:val="21"/>
          <w:szCs w:val="21"/>
          <w:shd w:val="clear" w:color="auto" w:fill="FFFFFF"/>
        </w:rPr>
        <w:t xml:space="preserve"> the questions being asked and the correct response to the question.  MEF exam developments utilize an approach includes three </w:t>
      </w:r>
      <w:r w:rsidR="00635589" w:rsidRPr="00DE6631">
        <w:rPr>
          <w:rFonts w:cstheme="minorHAnsi"/>
          <w:sz w:val="21"/>
          <w:szCs w:val="21"/>
          <w:shd w:val="clear" w:color="auto" w:fill="FFFFFF"/>
        </w:rPr>
        <w:t>levels of cognitive complexity</w:t>
      </w:r>
      <w:r w:rsidR="0036201E">
        <w:rPr>
          <w:rFonts w:cstheme="minorHAnsi"/>
          <w:sz w:val="21"/>
          <w:szCs w:val="21"/>
          <w:shd w:val="clear" w:color="auto" w:fill="FFFFFF"/>
        </w:rPr>
        <w:t xml:space="preserve"> (see table below).  It’s good to keep this in mind as you prepare for your exam.  </w:t>
      </w:r>
      <w:r w:rsidR="0036201E" w:rsidRPr="00DE6631">
        <w:rPr>
          <w:rFonts w:cstheme="minorHAnsi"/>
          <w:shd w:val="clear" w:color="auto" w:fill="FFFFFF"/>
        </w:rPr>
        <w:t>MEF exams include a substantial number of scenarios-based questions</w:t>
      </w:r>
      <w:r w:rsidR="0036201E">
        <w:rPr>
          <w:rFonts w:cstheme="minorHAnsi"/>
          <w:shd w:val="clear" w:color="auto" w:fill="FFFFFF"/>
        </w:rPr>
        <w:t>.  S</w:t>
      </w:r>
      <w:r w:rsidR="0036201E" w:rsidRPr="00DE6631">
        <w:rPr>
          <w:rFonts w:cstheme="minorHAnsi"/>
          <w:shd w:val="clear" w:color="auto" w:fill="FFFFFF"/>
        </w:rPr>
        <w:t xml:space="preserve">cenarios often require all three cognitive approaches to determine the correct answers.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01"/>
        <w:gridCol w:w="3117"/>
        <w:gridCol w:w="2852"/>
      </w:tblGrid>
      <w:tr w:rsidR="0036201E" w14:paraId="19F35227" w14:textId="77777777" w:rsidTr="00062C65">
        <w:tc>
          <w:tcPr>
            <w:tcW w:w="2401" w:type="dxa"/>
          </w:tcPr>
          <w:p w14:paraId="10634019" w14:textId="3327F41C" w:rsidR="0036201E" w:rsidRPr="00DE6631" w:rsidRDefault="0036201E" w:rsidP="0036201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FE40A0">
              <w:rPr>
                <w:b/>
                <w:bCs/>
              </w:rPr>
              <w:t>Cognitive Level</w:t>
            </w:r>
          </w:p>
        </w:tc>
        <w:tc>
          <w:tcPr>
            <w:tcW w:w="3117" w:type="dxa"/>
          </w:tcPr>
          <w:p w14:paraId="4A9EB28F" w14:textId="25A4D373" w:rsidR="0036201E" w:rsidRPr="00FE40A0" w:rsidRDefault="0036201E" w:rsidP="0036201E">
            <w:r w:rsidRPr="00FE40A0">
              <w:rPr>
                <w:b/>
                <w:bCs/>
              </w:rPr>
              <w:t>Description</w:t>
            </w:r>
          </w:p>
        </w:tc>
        <w:tc>
          <w:tcPr>
            <w:tcW w:w="2852" w:type="dxa"/>
          </w:tcPr>
          <w:p w14:paraId="4534E99F" w14:textId="785F6F84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FE40A0">
              <w:rPr>
                <w:b/>
                <w:bCs/>
              </w:rPr>
              <w:t>Item Characteristics</w:t>
            </w:r>
          </w:p>
        </w:tc>
      </w:tr>
      <w:tr w:rsidR="0036201E" w14:paraId="5E520334" w14:textId="77777777" w:rsidTr="00062C65">
        <w:tc>
          <w:tcPr>
            <w:tcW w:w="2401" w:type="dxa"/>
          </w:tcPr>
          <w:p w14:paraId="2B35CE75" w14:textId="27C0652B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DE6631">
              <w:rPr>
                <w:rFonts w:cstheme="minorHAnsi"/>
                <w:sz w:val="21"/>
                <w:szCs w:val="21"/>
                <w:shd w:val="clear" w:color="auto" w:fill="FFFFFF"/>
              </w:rPr>
              <w:t>1. Remember</w:t>
            </w:r>
          </w:p>
        </w:tc>
        <w:tc>
          <w:tcPr>
            <w:tcW w:w="3117" w:type="dxa"/>
          </w:tcPr>
          <w:p w14:paraId="4A3E2190" w14:textId="43585732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FE40A0">
              <w:t>Retrieve relevant knowledge from long-term memory</w:t>
            </w:r>
          </w:p>
        </w:tc>
        <w:tc>
          <w:tcPr>
            <w:tcW w:w="2852" w:type="dxa"/>
          </w:tcPr>
          <w:p w14:paraId="4C9A80F5" w14:textId="4ACCC976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FE40A0">
              <w:t>No scenario – knowledge-based question where the answer could be directly found in a resource</w:t>
            </w:r>
          </w:p>
        </w:tc>
      </w:tr>
      <w:tr w:rsidR="0036201E" w14:paraId="36C1D9E3" w14:textId="77777777" w:rsidTr="00062C65">
        <w:tc>
          <w:tcPr>
            <w:tcW w:w="2401" w:type="dxa"/>
          </w:tcPr>
          <w:p w14:paraId="0B51D7AE" w14:textId="4412F494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2.</w:t>
            </w:r>
            <w:r w:rsidRPr="00DE6631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Understand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/</w:t>
            </w:r>
            <w:r w:rsidRPr="00DE6631">
              <w:rPr>
                <w:rFonts w:cstheme="minorHAnsi"/>
                <w:sz w:val="21"/>
                <w:szCs w:val="21"/>
                <w:shd w:val="clear" w:color="auto" w:fill="FFFFFF"/>
              </w:rPr>
              <w:t>Apply</w:t>
            </w:r>
          </w:p>
        </w:tc>
        <w:tc>
          <w:tcPr>
            <w:tcW w:w="3117" w:type="dxa"/>
          </w:tcPr>
          <w:p w14:paraId="5DCBF65E" w14:textId="5B0927AB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FE40A0">
              <w:t>Construct meaning from information, demonstrate comprehension of concepts or processes, apply processes or procedures.</w:t>
            </w:r>
          </w:p>
        </w:tc>
        <w:tc>
          <w:tcPr>
            <w:tcW w:w="2852" w:type="dxa"/>
          </w:tcPr>
          <w:p w14:paraId="74B74AEA" w14:textId="591AF319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>
              <w:t>May have a s</w:t>
            </w:r>
            <w:r w:rsidRPr="00FE40A0">
              <w:t>hort scenario – candidate must use knowledge to answer the question.</w:t>
            </w:r>
          </w:p>
        </w:tc>
      </w:tr>
      <w:tr w:rsidR="0036201E" w14:paraId="32368D58" w14:textId="77777777" w:rsidTr="00062C65">
        <w:tc>
          <w:tcPr>
            <w:tcW w:w="2401" w:type="dxa"/>
          </w:tcPr>
          <w:p w14:paraId="45D09C13" w14:textId="0037F684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3. </w:t>
            </w:r>
            <w:r w:rsidRPr="00DE6631">
              <w:rPr>
                <w:rFonts w:cstheme="minorHAnsi"/>
                <w:sz w:val="21"/>
                <w:szCs w:val="21"/>
                <w:shd w:val="clear" w:color="auto" w:fill="FFFFFF"/>
              </w:rPr>
              <w:t>Analyze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/</w:t>
            </w:r>
            <w:r w:rsidRPr="00DE6631">
              <w:rPr>
                <w:rFonts w:cstheme="minorHAnsi"/>
                <w:sz w:val="21"/>
                <w:szCs w:val="21"/>
                <w:shd w:val="clear" w:color="auto" w:fill="FFFFFF"/>
              </w:rPr>
              <w:t>Evaluate</w:t>
            </w:r>
          </w:p>
        </w:tc>
        <w:tc>
          <w:tcPr>
            <w:tcW w:w="3117" w:type="dxa"/>
          </w:tcPr>
          <w:p w14:paraId="6F007119" w14:textId="5E0D23CE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FE40A0">
              <w:t>Break material into parts, determine how parts relate to one another or overall structure, make judgments based on criteria.</w:t>
            </w:r>
          </w:p>
        </w:tc>
        <w:tc>
          <w:tcPr>
            <w:tcW w:w="2852" w:type="dxa"/>
          </w:tcPr>
          <w:p w14:paraId="7EFFB102" w14:textId="452B027C" w:rsidR="0036201E" w:rsidRDefault="0036201E" w:rsidP="0036201E">
            <w:pPr>
              <w:rPr>
                <w:rFonts w:cstheme="minorHAnsi"/>
                <w:shd w:val="clear" w:color="auto" w:fill="FFFFFF"/>
              </w:rPr>
            </w:pPr>
            <w:r w:rsidRPr="00FE40A0">
              <w:t xml:space="preserve">Detailed scenario – candidate must make </w:t>
            </w:r>
            <w:proofErr w:type="gramStart"/>
            <w:r w:rsidRPr="00FE40A0">
              <w:t>some kind of decision</w:t>
            </w:r>
            <w:proofErr w:type="gramEnd"/>
            <w:r w:rsidRPr="00FE40A0">
              <w:t xml:space="preserve"> using several pieces of information provided in the scenario (think 4-6 details in the scenario)</w:t>
            </w:r>
          </w:p>
        </w:tc>
      </w:tr>
    </w:tbl>
    <w:p w14:paraId="775174D4" w14:textId="2C93C0C8" w:rsidR="00BC17AD" w:rsidRDefault="00BC17AD" w:rsidP="00ED5C06">
      <w:pPr>
        <w:rPr>
          <w:rFonts w:cstheme="minorHAnsi"/>
          <w:shd w:val="clear" w:color="auto" w:fill="FFFFFF"/>
        </w:rPr>
      </w:pPr>
    </w:p>
    <w:p w14:paraId="3A65BDC1" w14:textId="6C2D7B63" w:rsidR="00262C09" w:rsidRDefault="00262C09" w:rsidP="00262C09">
      <w:pPr>
        <w:jc w:val="center"/>
        <w:rPr>
          <w:rFonts w:cstheme="minorHAnsi"/>
          <w:shd w:val="clear" w:color="auto" w:fill="FFFFFF"/>
        </w:rPr>
      </w:pPr>
    </w:p>
    <w:p w14:paraId="2B5084EF" w14:textId="77777777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58C52234" w14:textId="77777777" w:rsidR="00ED5C06" w:rsidRDefault="00ED5C06" w:rsidP="00ED5C0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Example questions</w:t>
      </w:r>
    </w:p>
    <w:p w14:paraId="239F353D" w14:textId="77777777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27E382D9" w14:textId="4B08973F" w:rsidR="00262C09" w:rsidRDefault="00ED5C06" w:rsidP="00262C09">
      <w:pPr>
        <w:jc w:val="center"/>
        <w:rPr>
          <w:rFonts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1F5F687C" wp14:editId="6F2DEB7F">
            <wp:extent cx="5943600" cy="2129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4660" w14:textId="77777777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3C7971F0" w14:textId="1A14DAA8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2D152A09" w14:textId="7213B3B4" w:rsidR="00ED5C06" w:rsidRDefault="00ED5C06" w:rsidP="00262C09">
      <w:pPr>
        <w:jc w:val="center"/>
        <w:rPr>
          <w:rFonts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3D5AC553" wp14:editId="34A40981">
            <wp:extent cx="5943600" cy="230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F0A1" w14:textId="77777777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56B8F086" w14:textId="77777777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5F9BBA69" w14:textId="1B635C65" w:rsidR="00ED5C06" w:rsidRDefault="00ED5C06" w:rsidP="00262C09">
      <w:pPr>
        <w:jc w:val="center"/>
        <w:rPr>
          <w:rFonts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7C5402A0" wp14:editId="4BA845CC">
            <wp:extent cx="5943600" cy="1434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3D99" w14:textId="77777777" w:rsidR="00ED5C06" w:rsidRDefault="00ED5C06" w:rsidP="00262C09">
      <w:pPr>
        <w:jc w:val="center"/>
        <w:rPr>
          <w:rFonts w:cstheme="minorHAnsi"/>
          <w:shd w:val="clear" w:color="auto" w:fill="FFFFFF"/>
        </w:rPr>
      </w:pPr>
    </w:p>
    <w:p w14:paraId="0BE205AE" w14:textId="69484C9C" w:rsidR="00ED5C06" w:rsidRPr="0036201E" w:rsidRDefault="00ED5C06" w:rsidP="00262C09">
      <w:pPr>
        <w:jc w:val="center"/>
        <w:rPr>
          <w:rFonts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15AFEBB8" wp14:editId="0E48D6C1">
            <wp:extent cx="5943600" cy="152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C06" w:rsidRPr="0036201E" w:rsidSect="00ED5C0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4AC2" w14:textId="77777777" w:rsidR="00BD6471" w:rsidRDefault="00BD6471" w:rsidP="000E251F">
      <w:r>
        <w:separator/>
      </w:r>
    </w:p>
  </w:endnote>
  <w:endnote w:type="continuationSeparator" w:id="0">
    <w:p w14:paraId="62507413" w14:textId="77777777" w:rsidR="00BD6471" w:rsidRDefault="00BD6471" w:rsidP="000E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2410" w14:textId="1EB80A44" w:rsidR="000E251F" w:rsidRDefault="000E251F">
    <w:pPr>
      <w:pStyle w:val="Footer"/>
    </w:pPr>
    <w:r>
      <w:t>MEF-SDCP (SD-WAN) Course Study Guide</w:t>
    </w:r>
    <w:r>
      <w:tab/>
    </w:r>
    <w:r>
      <w:tab/>
      <w:t xml:space="preserve">Apr </w:t>
    </w:r>
    <w:r w:rsidR="00062C65">
      <w:t>11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4A79" w14:textId="77777777" w:rsidR="00BD6471" w:rsidRDefault="00BD6471" w:rsidP="000E251F">
      <w:r>
        <w:separator/>
      </w:r>
    </w:p>
  </w:footnote>
  <w:footnote w:type="continuationSeparator" w:id="0">
    <w:p w14:paraId="50F51A9E" w14:textId="77777777" w:rsidR="00BD6471" w:rsidRDefault="00BD6471" w:rsidP="000E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4656"/>
    <w:multiLevelType w:val="hybridMultilevel"/>
    <w:tmpl w:val="2424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B2798"/>
    <w:multiLevelType w:val="hybridMultilevel"/>
    <w:tmpl w:val="5424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321DA"/>
    <w:multiLevelType w:val="hybridMultilevel"/>
    <w:tmpl w:val="A1A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F760A"/>
    <w:multiLevelType w:val="hybridMultilevel"/>
    <w:tmpl w:val="C03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9DD"/>
    <w:multiLevelType w:val="hybridMultilevel"/>
    <w:tmpl w:val="5FD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A80406"/>
    <w:multiLevelType w:val="hybridMultilevel"/>
    <w:tmpl w:val="F7E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0F4847"/>
    <w:multiLevelType w:val="hybridMultilevel"/>
    <w:tmpl w:val="140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E"/>
    <w:rsid w:val="00062C65"/>
    <w:rsid w:val="000E251F"/>
    <w:rsid w:val="00262C09"/>
    <w:rsid w:val="002C413B"/>
    <w:rsid w:val="0036201E"/>
    <w:rsid w:val="004D0B10"/>
    <w:rsid w:val="004D6C61"/>
    <w:rsid w:val="00622862"/>
    <w:rsid w:val="00635589"/>
    <w:rsid w:val="00AD053E"/>
    <w:rsid w:val="00BC17AD"/>
    <w:rsid w:val="00BD6471"/>
    <w:rsid w:val="00CD6496"/>
    <w:rsid w:val="00D028BF"/>
    <w:rsid w:val="00DE6631"/>
    <w:rsid w:val="00ED5C06"/>
    <w:rsid w:val="00F22817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0395"/>
  <w15:chartTrackingRefBased/>
  <w15:docId w15:val="{6726C994-8A86-4DEA-86FD-B849AF07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053E"/>
    <w:pPr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053E"/>
    <w:rPr>
      <w:rFonts w:ascii="Calibri" w:eastAsia="Calibri" w:hAnsi="Calibri" w:cs="Calibri"/>
      <w:sz w:val="24"/>
      <w:szCs w:val="24"/>
      <w:lang w:bidi="en-US"/>
    </w:rPr>
  </w:style>
  <w:style w:type="paragraph" w:customStyle="1" w:styleId="Default">
    <w:name w:val="Default"/>
    <w:rsid w:val="00AD0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1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1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635589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table" w:styleId="TableGrid">
    <w:name w:val="Table Grid"/>
    <w:basedOn w:val="TableNormal"/>
    <w:uiPriority w:val="39"/>
    <w:rsid w:val="003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Russell</dc:creator>
  <cp:keywords/>
  <dc:description/>
  <cp:lastModifiedBy>Accounting Department</cp:lastModifiedBy>
  <cp:revision>2</cp:revision>
  <dcterms:created xsi:type="dcterms:W3CDTF">2020-04-14T08:48:00Z</dcterms:created>
  <dcterms:modified xsi:type="dcterms:W3CDTF">2020-04-14T08:48:00Z</dcterms:modified>
</cp:coreProperties>
</file>